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1F" w:rsidRPr="00A9021F" w:rsidRDefault="00C6422C" w:rsidP="00A9021F">
      <w:pPr>
        <w:spacing w:after="0" w:line="240" w:lineRule="auto"/>
        <w:ind w:firstLine="709"/>
        <w:jc w:val="center"/>
        <w:rPr>
          <w:rFonts w:ascii="Tahoma" w:eastAsia="Times New Roman" w:hAnsi="Tahoma" w:cs="Tahoma"/>
          <w:b/>
          <w:color w:val="1A1C27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1A1C27"/>
          <w:sz w:val="28"/>
          <w:szCs w:val="28"/>
          <w:lang w:eastAsia="ru-RU"/>
        </w:rPr>
        <w:t>Тема 51</w:t>
      </w:r>
      <w:bookmarkStart w:id="0" w:name="_GoBack"/>
      <w:bookmarkEnd w:id="0"/>
      <w:r w:rsidR="00A9021F" w:rsidRPr="00A9021F">
        <w:rPr>
          <w:rFonts w:ascii="Tahoma" w:eastAsia="Times New Roman" w:hAnsi="Tahoma" w:cs="Tahoma"/>
          <w:b/>
          <w:color w:val="1A1C27"/>
          <w:sz w:val="28"/>
          <w:szCs w:val="28"/>
          <w:lang w:eastAsia="ru-RU"/>
        </w:rPr>
        <w:t>. Симфоническое творчество Дебюсси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1A1C27"/>
          <w:sz w:val="28"/>
          <w:szCs w:val="28"/>
          <w:lang w:eastAsia="ru-RU"/>
        </w:rPr>
      </w:pP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Симфонические партитуры Дебюсси – «Послеполуденный отдых фавна» (1892), «Ноктюрны» (1897-1899), три симфонических эскиза «Море» (1903-1905), «Иберия» из серии «Образы» – принадлежат к его наиболее репертуарным сочинениям.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«Ноктюрны»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t xml:space="preserve"> представляют собой симфонический триптих: «Облака», «Празднества» и «Сирены». Цикл объединен тональным единством: I часть написана в h-moll, финал – в одноименном H-dur. Имеются также образные и интонационные связи: обе крайние части носят пейзажный характер (картины облаков и моря), они обрамляют жанровую среднюю часть танцевально-игрового склада. 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 xml:space="preserve">Первый ноктюрн – </w:t>
      </w:r>
      <w:r w:rsidRPr="00A9021F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«Облака» 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– задуман автором как картина «неподвижного небосвода, по которому тихо и печально плывут облака».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В оркестровке ведущая роль принадлежит низким тембрам деревянных духовых и засурдиненным струнным. Особо выделяются многократно повторяемое «загадочное» соло английского рожка и холодноватые краски флейты. В группе медных инструментов – лишь квартет валторн.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Форма «Облаков» типична для Дебюсси – трехчастная с малоконтрастной серединой и сокращен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softHyphen/>
        <w:t>ной «угасающей» репризой синтетического склада.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Музыку экспозиции образуют два тематических элемента: нисходящие фразы кларнетов и фаготов, которым отвечает уже упомянутый краткий мотив-сигнал английского рожка, сменяющийся отдаленным отзву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softHyphen/>
        <w:t>ком валторн.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Средняя часть «Облаков» звучит прозрачно и чуть отрешенно. Меланхолически певучая мелодия флейты (и арфы) мерно движется по ступеням пентатонного звукоряда (на черных клави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softHyphen/>
        <w:t>шах); ее повторяют, как эхо, три солирующих струнных – скрипка, альт и виолончель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Заметно укороченная «синтетическая» реприза воспроизводит знакомые тематические элементы всех предшествующих разделов, но в иной последовательности.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 xml:space="preserve">Резкий контраст «Облакам» образует вторая пьеса цикла – </w:t>
      </w:r>
      <w:r w:rsidRPr="00A9021F">
        <w:rPr>
          <w:rFonts w:ascii="Tahoma" w:eastAsia="Times New Roman" w:hAnsi="Tahoma" w:cs="Tahoma"/>
          <w:b/>
          <w:sz w:val="28"/>
          <w:szCs w:val="28"/>
          <w:lang w:eastAsia="ru-RU"/>
        </w:rPr>
        <w:t>«Празднества»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t xml:space="preserve"> – картина торжественного шествия, уличного лико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softHyphen/>
        <w:t xml:space="preserve">вания веселящейся толпы. (В беседе с одним из своих друзей Дебюсси рассказал, что толчком к созданию «Празднеств» послужило впечатление от народного гуляния в Булонском лесу и от торжественных фанфар оркестра республиканской гвардии, а в музыке «Облаков» отразилась картина грозовых туч, поразившая автора во время прогулки по ночному Парижу; сирена проходящего по реке судна, услышанная им на мосту Согласия, превратилась в тревожную фразу 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английского рожка). Здесь используется более мощный оркестровый состав с трубами и тромбонами, тарелками, литаврами и малым барабаном.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В противоположность смутным, статичным звучностям «Обла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softHyphen/>
        <w:t>ков», эта пьеса отличается сочностью песенно-танцевальных образов, близких итальянскому фольклору. Зажигательный ритм тарантеллы господствует в крайних разделах развернутой трехчастной формы.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«Тарантельная» тема уже во вступлении и в широко развитой экспозиции подвергается тембровым и ладовым превращениям: она звучит то в дорийском или миксолидийском, то в целотонном ладу; ровное движение в размере 12/8 сменяется более прихотливыми – трехдольными и даже пятидольными формулами. Внутри экспозиции возникает жан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softHyphen/>
        <w:t>ровый контраст – новая, остро пунктирная мелодия в духе серенады, играющая роль «побочной партии».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Чисто театральный эффект нарастающего марша-шествия пред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softHyphen/>
        <w:t xml:space="preserve">ставлен в среднем разделе «Празднеств». 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Праздничное движение становится все более мощным: вступает тяжелая медь, и в качестве подголоска к маршевой теме присоеди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softHyphen/>
        <w:t>няется «тарантельная» тема из первого раздела.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 xml:space="preserve">Музыка </w:t>
      </w:r>
      <w:r w:rsidRPr="00A9021F">
        <w:rPr>
          <w:rFonts w:ascii="Tahoma" w:eastAsia="Times New Roman" w:hAnsi="Tahoma" w:cs="Tahoma"/>
          <w:b/>
          <w:sz w:val="28"/>
          <w:szCs w:val="28"/>
          <w:lang w:eastAsia="ru-RU"/>
        </w:rPr>
        <w:t>«Сирен»,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t xml:space="preserve"> третьего из «Ноктюрнов», снова навеяна со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softHyphen/>
        <w:t>зерцанием природы, на этот раз – стихии моря. Образ фантастических морских красавиц представлен здесь партией женского хора, поющего без слов (восемь сопрано и восемь меццо-сопрано). Оркестр «Сирен» богат деко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softHyphen/>
        <w:t>ративно-изобразительными эффектами.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В сравнении с «Облаками» и «Празднествами» форма «Сирен» менее контрастна, более монотематична. В ее основе – секундовый нис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softHyphen/>
        <w:t>ходящий «мотив морской волны». Из него вырастает и хроматическая фраза английского рожка, многократно повторяе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softHyphen/>
        <w:t>мая во вступлении, и призывно манящий напев женского хора, открывающий собой экспозицию пьесы: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Ладовое своеобразие темы сирен представлено лидомиксолидийским звукорядом</w:t>
      </w:r>
      <w:r w:rsidRPr="00A9021F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(H-dur с повышенной IV ступенью и пониженной VII), близким к целотонному ладу, столь любимому импрессионистами.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Оба мотива, господствующие в экспозиции, сохраняют свою ведущую роль и в среднем разделе «Сирен» (Ges-dur).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9021F">
        <w:rPr>
          <w:rFonts w:ascii="Tahoma" w:eastAsia="Times New Roman" w:hAnsi="Tahoma" w:cs="Tahoma"/>
          <w:sz w:val="28"/>
          <w:szCs w:val="28"/>
          <w:lang w:eastAsia="ru-RU"/>
        </w:rPr>
        <w:t>Реприза и кода «Сирен», как обычно у Дебюсси, отличаются подчеркнутой сжатостью. Новое здесь – в возвращении некоторых характерных мо</w:t>
      </w:r>
      <w:r w:rsidRPr="00A9021F">
        <w:rPr>
          <w:rFonts w:ascii="Tahoma" w:eastAsia="Times New Roman" w:hAnsi="Tahoma" w:cs="Tahoma"/>
          <w:sz w:val="28"/>
          <w:szCs w:val="28"/>
          <w:lang w:eastAsia="ru-RU"/>
        </w:rPr>
        <w:softHyphen/>
        <w:t>тивов из «Облаков» (в частности, слегка видоизмененного мотива английского рожка).</w:t>
      </w: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9021F" w:rsidRPr="00A9021F" w:rsidRDefault="00A9021F" w:rsidP="00A9021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567F1" w:rsidRDefault="00C6422C"/>
    <w:sectPr w:rsidR="0035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1F"/>
    <w:rsid w:val="00522C12"/>
    <w:rsid w:val="0069723D"/>
    <w:rsid w:val="00A9021F"/>
    <w:rsid w:val="00C6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18604-9D4F-4C1F-B666-400BCABA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Суркова</dc:creator>
  <cp:keywords/>
  <dc:description/>
  <cp:lastModifiedBy>Полина Суркова</cp:lastModifiedBy>
  <cp:revision>3</cp:revision>
  <dcterms:created xsi:type="dcterms:W3CDTF">2017-02-03T12:28:00Z</dcterms:created>
  <dcterms:modified xsi:type="dcterms:W3CDTF">2017-02-10T08:47:00Z</dcterms:modified>
</cp:coreProperties>
</file>